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26BD" w14:textId="36EF4DA4" w:rsidR="00C0479B" w:rsidRPr="00A56B4F" w:rsidRDefault="00C0479B" w:rsidP="00C0479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eastAsia="MS Gothic" w:cs="Times New Roman"/>
          <w:b/>
          <w:bCs/>
          <w:spacing w:val="5"/>
          <w:kern w:val="28"/>
          <w:sz w:val="52"/>
          <w:szCs w:val="52"/>
          <w:lang w:val="en-US"/>
          <w14:ligatures w14:val="none"/>
        </w:rPr>
      </w:pPr>
      <w:r w:rsidRPr="00A56B4F">
        <w:rPr>
          <w:rFonts w:eastAsia="MS Gothic" w:cs="Times New Roman"/>
          <w:b/>
          <w:bCs/>
          <w:spacing w:val="5"/>
          <w:kern w:val="28"/>
          <w:sz w:val="52"/>
          <w:szCs w:val="52"/>
          <w:lang w:val="en-US"/>
          <w14:ligatures w14:val="none"/>
        </w:rPr>
        <w:t>Process for Newly Qualified Social Workers (NQSW</w:t>
      </w:r>
      <w:r w:rsidR="00A03B18">
        <w:rPr>
          <w:rFonts w:eastAsia="MS Gothic" w:cs="Times New Roman"/>
          <w:b/>
          <w:bCs/>
          <w:spacing w:val="5"/>
          <w:kern w:val="28"/>
          <w:sz w:val="52"/>
          <w:szCs w:val="52"/>
          <w:lang w:val="en-US"/>
          <w14:ligatures w14:val="none"/>
        </w:rPr>
        <w:t>s</w:t>
      </w:r>
      <w:r w:rsidRPr="00A56B4F">
        <w:rPr>
          <w:rFonts w:eastAsia="MS Gothic" w:cs="Times New Roman"/>
          <w:b/>
          <w:bCs/>
          <w:spacing w:val="5"/>
          <w:kern w:val="28"/>
          <w:sz w:val="52"/>
          <w:szCs w:val="52"/>
          <w:lang w:val="en-US"/>
          <w14:ligatures w14:val="none"/>
        </w:rPr>
        <w:t>) in Office-Based ASYE Settings</w:t>
      </w:r>
    </w:p>
    <w:p w14:paraId="412DE4B2" w14:textId="77777777" w:rsidR="00C0479B" w:rsidRPr="00A56B4F" w:rsidRDefault="00C0479B" w:rsidP="00C0479B">
      <w:pPr>
        <w:numPr>
          <w:ilvl w:val="1"/>
          <w:numId w:val="0"/>
        </w:numPr>
        <w:spacing w:after="200" w:line="276" w:lineRule="auto"/>
        <w:jc w:val="center"/>
        <w:rPr>
          <w:rFonts w:eastAsia="MS Gothic" w:cs="Times New Roman"/>
          <w:i/>
          <w:iCs/>
          <w:spacing w:val="15"/>
          <w:kern w:val="0"/>
          <w:lang w:val="en-US"/>
          <w14:ligatures w14:val="none"/>
        </w:rPr>
      </w:pPr>
      <w:r w:rsidRPr="00A56B4F">
        <w:rPr>
          <w:rFonts w:eastAsia="MS Gothic" w:cs="Times New Roman"/>
          <w:i/>
          <w:iCs/>
          <w:spacing w:val="15"/>
          <w:kern w:val="0"/>
          <w:lang w:val="en-US"/>
          <w14:ligatures w14:val="none"/>
        </w:rPr>
        <w:t>Adult Social Care Service</w:t>
      </w:r>
    </w:p>
    <w:p w14:paraId="23E1C344" w14:textId="77777777" w:rsidR="00A03B18" w:rsidRDefault="00A03B18" w:rsidP="003B4AE0">
      <w:pPr>
        <w:spacing w:after="200" w:line="276" w:lineRule="auto"/>
        <w:jc w:val="both"/>
        <w:rPr>
          <w:rFonts w:eastAsia="MS Mincho" w:cs="Times New Roman"/>
          <w:kern w:val="0"/>
          <w:sz w:val="22"/>
          <w:szCs w:val="22"/>
          <w:lang w:val="en-US"/>
          <w14:ligatures w14:val="none"/>
        </w:rPr>
      </w:pPr>
    </w:p>
    <w:p w14:paraId="31C87F1A" w14:textId="0B65E063" w:rsidR="00A03B18" w:rsidRPr="00A03B18" w:rsidRDefault="00A03B18" w:rsidP="003B4AE0">
      <w:pPr>
        <w:spacing w:after="200" w:line="276" w:lineRule="auto"/>
        <w:jc w:val="both"/>
        <w:rPr>
          <w:rFonts w:asciiTheme="majorHAnsi" w:eastAsia="MS Mincho" w:hAnsiTheme="majorHAnsi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A03B18">
        <w:rPr>
          <w:rFonts w:asciiTheme="majorHAnsi" w:eastAsia="MS Mincho" w:hAnsiTheme="majorHAnsi" w:cs="Times New Roman"/>
          <w:b/>
          <w:bCs/>
          <w:kern w:val="0"/>
          <w:sz w:val="32"/>
          <w:szCs w:val="32"/>
          <w:lang w:val="en-US"/>
          <w14:ligatures w14:val="none"/>
        </w:rPr>
        <w:t>Purpose</w:t>
      </w:r>
    </w:p>
    <w:p w14:paraId="76748697" w14:textId="270CD15C" w:rsidR="003B4AE0" w:rsidRPr="00A56B4F" w:rsidRDefault="003B4AE0" w:rsidP="003B4AE0">
      <w:pPr>
        <w:spacing w:after="200" w:line="276" w:lineRule="auto"/>
        <w:jc w:val="both"/>
        <w:rPr>
          <w:rFonts w:eastAsia="MS Mincho" w:cs="Times New Roman"/>
          <w:kern w:val="0"/>
          <w:sz w:val="22"/>
          <w:szCs w:val="22"/>
          <w:lang w:val="en-US"/>
          <w14:ligatures w14:val="none"/>
        </w:rPr>
      </w:pP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The purpose of this process is to provide NQSWs with a wide range of learning opportunities to support their first year of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 social work 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practice and ensure they meet the Professional Capabilities Framework (PCF) and Knowledge and Skills Statement (KSS) standards. Whil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st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 most NQSWs can demonstrate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 their 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progression 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against these standards 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within their existing teams, office-based roles may limit exposure to certain areas of practice, such as completing mental capacity assessments.</w:t>
      </w:r>
    </w:p>
    <w:p w14:paraId="731EE2FA" w14:textId="46DED806" w:rsidR="2C88DA1C" w:rsidRDefault="2C88DA1C" w:rsidP="2C88DA1C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sz w:val="32"/>
          <w:szCs w:val="32"/>
          <w:lang w:val="en-US"/>
        </w:rPr>
      </w:pPr>
    </w:p>
    <w:p w14:paraId="57EA4DD2" w14:textId="77777777" w:rsidR="00465B09" w:rsidRPr="00A56B4F" w:rsidRDefault="00465B09" w:rsidP="2C88DA1C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2C88DA1C">
        <w:rPr>
          <w:rFonts w:eastAsia="MS Gothic" w:cs="Times New Roman"/>
          <w:b/>
          <w:bCs/>
          <w:kern w:val="0"/>
          <w:sz w:val="32"/>
          <w:szCs w:val="32"/>
          <w:lang w:val="en-US"/>
          <w14:ligatures w14:val="none"/>
        </w:rPr>
        <w:t>Objective</w:t>
      </w:r>
    </w:p>
    <w:p w14:paraId="01EB8FCB" w14:textId="1553A6FB" w:rsidR="2C88DA1C" w:rsidRDefault="2C88DA1C" w:rsidP="2C88DA1C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sz w:val="32"/>
          <w:szCs w:val="32"/>
          <w:lang w:val="en-US"/>
        </w:rPr>
      </w:pPr>
    </w:p>
    <w:p w14:paraId="05940878" w14:textId="4C2F67E3" w:rsidR="00C0479B" w:rsidRDefault="00465B09" w:rsidP="2C88DA1C">
      <w:pPr>
        <w:spacing w:after="200" w:line="276" w:lineRule="auto"/>
        <w:jc w:val="both"/>
        <w:rPr>
          <w:rFonts w:eastAsia="MS Mincho" w:cs="Times New Roman"/>
          <w:kern w:val="0"/>
          <w:sz w:val="22"/>
          <w:szCs w:val="22"/>
          <w:lang w:val="en-US"/>
          <w14:ligatures w14:val="none"/>
        </w:rPr>
      </w:pP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This process ensures a balanced, fair, and measured approach to the ASYE year, enabling NQSWs to fulfill 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their 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team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s’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 responsibilities while accessing </w:t>
      </w:r>
      <w:r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outward </w:t>
      </w: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opportunities to develop skills, knowledge, and experience aligned with professional standards</w:t>
      </w:r>
    </w:p>
    <w:p w14:paraId="1B159A25" w14:textId="77777777" w:rsidR="00463426" w:rsidRPr="00463426" w:rsidRDefault="00463426" w:rsidP="2C88DA1C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Principles</w:t>
      </w:r>
    </w:p>
    <w:p w14:paraId="479CC5E4" w14:textId="551A5DC2" w:rsidR="2C88DA1C" w:rsidRDefault="2C88DA1C" w:rsidP="2C88DA1C">
      <w:pPr>
        <w:spacing w:beforeAutospacing="1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</w:p>
    <w:p w14:paraId="26C739E9" w14:textId="77777777" w:rsidR="00463426" w:rsidRPr="00463426" w:rsidRDefault="00463426" w:rsidP="00F360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Compliance: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Aligns with ASYE standards, PCF, and KSS.</w:t>
      </w:r>
    </w:p>
    <w:p w14:paraId="44056986" w14:textId="77777777" w:rsidR="00463426" w:rsidRPr="00463426" w:rsidRDefault="00463426" w:rsidP="00F360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Fairness: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Equal access to learning opportunities for all office-based NQSWs.</w:t>
      </w:r>
    </w:p>
    <w:p w14:paraId="1EAE1744" w14:textId="77777777" w:rsidR="00463426" w:rsidRPr="00463426" w:rsidRDefault="00463426" w:rsidP="00F360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Safety: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Maintains safeguarding and risk management responsibilities.</w:t>
      </w:r>
    </w:p>
    <w:p w14:paraId="17BF6086" w14:textId="77777777" w:rsidR="00463426" w:rsidRPr="00463426" w:rsidRDefault="00463426" w:rsidP="00F360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Transparency: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Clear communication between all parties involved.</w:t>
      </w:r>
    </w:p>
    <w:p w14:paraId="23E6BFD6" w14:textId="77777777" w:rsidR="00463426" w:rsidRDefault="00463426" w:rsidP="00F360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Workload Protection: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Adheres to the 10% protected caseload requirement.</w:t>
      </w:r>
    </w:p>
    <w:p w14:paraId="735E752B" w14:textId="57BBCFCD" w:rsidR="00E66968" w:rsidRPr="00463426" w:rsidRDefault="00E66968" w:rsidP="2C88D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6E32E6A0" w14:textId="77777777" w:rsidR="00A1015D" w:rsidRPr="00A1015D" w:rsidRDefault="00A1015D" w:rsidP="00A1015D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1948B883" w14:textId="3F470B77" w:rsidR="2C88DA1C" w:rsidRPr="00A1015D" w:rsidRDefault="2C88DA1C" w:rsidP="00A1015D">
      <w:pPr>
        <w:pStyle w:val="ListParagraph"/>
        <w:numPr>
          <w:ilvl w:val="0"/>
          <w:numId w:val="25"/>
        </w:numPr>
        <w:spacing w:beforeAutospacing="1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</w:p>
    <w:p w14:paraId="192F5F19" w14:textId="2480A60B" w:rsidR="00E66968" w:rsidRPr="00463426" w:rsidRDefault="00463426" w:rsidP="2C88DA1C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 xml:space="preserve">Process </w:t>
      </w:r>
    </w:p>
    <w:p w14:paraId="3088D01B" w14:textId="4A428328" w:rsidR="2C88DA1C" w:rsidRDefault="2C88DA1C" w:rsidP="2C88DA1C">
      <w:pPr>
        <w:spacing w:beforeAutospacing="1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eastAsia="en-GB"/>
        </w:rPr>
      </w:pPr>
    </w:p>
    <w:p w14:paraId="4838C475" w14:textId="77777777" w:rsidR="00463426" w:rsidRPr="00463426" w:rsidRDefault="00463426" w:rsidP="2C88DA1C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1: Initial Development Planning</w:t>
      </w:r>
    </w:p>
    <w:p w14:paraId="115AEFC6" w14:textId="3C086957" w:rsidR="2C88DA1C" w:rsidRDefault="2C88DA1C" w:rsidP="2C88DA1C">
      <w:pPr>
        <w:spacing w:beforeAutospacing="1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</w:p>
    <w:p w14:paraId="40378702" w14:textId="6C9C8EB9" w:rsidR="2C88DA1C" w:rsidRPr="00FF53D6" w:rsidRDefault="00463426" w:rsidP="00FF53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lang w:val="en-US"/>
        </w:rPr>
        <w:t>D</w:t>
      </w:r>
      <w:r w:rsidRPr="00D97260">
        <w:rPr>
          <w:lang w:val="en-US"/>
        </w:rPr>
        <w:t>uring Initial Professional Development Meeting (IPDM) and Support and Assessment Agreement Meeting (</w:t>
      </w:r>
      <w:r w:rsidR="00E66968" w:rsidRPr="00D97260">
        <w:rPr>
          <w:lang w:val="en-US"/>
        </w:rPr>
        <w:t xml:space="preserve">SAAM) </w:t>
      </w:r>
      <w:r w:rsidR="6CB529C6" w:rsidRPr="00463426">
        <w:rPr>
          <w:rFonts w:eastAsia="Times New Roman" w:cs="Times New Roman"/>
          <w:kern w:val="0"/>
          <w:lang w:eastAsia="en-GB"/>
          <w14:ligatures w14:val="none"/>
        </w:rPr>
        <w:t>stage,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the ASYE assessor, line manager, and NQSW will: </w:t>
      </w:r>
    </w:p>
    <w:p w14:paraId="4ECD9878" w14:textId="77777777" w:rsidR="00463426" w:rsidRPr="00E66968" w:rsidRDefault="00463426" w:rsidP="00E6696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E66968">
        <w:rPr>
          <w:rFonts w:eastAsia="Times New Roman" w:cs="Times New Roman"/>
          <w:kern w:val="0"/>
          <w:lang w:eastAsia="en-GB"/>
          <w14:ligatures w14:val="none"/>
        </w:rPr>
        <w:t>Identify development needs against PCF and KSS.</w:t>
      </w:r>
    </w:p>
    <w:p w14:paraId="405F24F6" w14:textId="4144B582" w:rsidR="00463426" w:rsidRPr="00E66968" w:rsidRDefault="00463426" w:rsidP="00E6696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E66968">
        <w:rPr>
          <w:rFonts w:eastAsia="Times New Roman" w:cs="Times New Roman"/>
          <w:kern w:val="0"/>
          <w:lang w:eastAsia="en-GB"/>
          <w14:ligatures w14:val="none"/>
        </w:rPr>
        <w:t xml:space="preserve">Agree how these can be achieved within the current team and identify gaps. </w:t>
      </w:r>
    </w:p>
    <w:p w14:paraId="1D19C464" w14:textId="4D1C413F" w:rsidR="00463426" w:rsidRPr="00E66968" w:rsidRDefault="00463426" w:rsidP="00E6696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E66968">
        <w:rPr>
          <w:rFonts w:eastAsia="Times New Roman" w:cs="Times New Roman"/>
          <w:kern w:val="0"/>
          <w:lang w:eastAsia="en-GB"/>
          <w14:ligatures w14:val="none"/>
        </w:rPr>
        <w:t>Document this in the ASYE IPDM and SAAM</w:t>
      </w:r>
      <w:r w:rsidR="00E66968">
        <w:rPr>
          <w:rFonts w:eastAsia="Times New Roman" w:cs="Times New Roman"/>
          <w:kern w:val="0"/>
          <w:lang w:eastAsia="en-GB"/>
          <w14:ligatures w14:val="none"/>
        </w:rPr>
        <w:t xml:space="preserve"> documentation</w:t>
      </w:r>
      <w:r w:rsidR="00FF53D6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08FEDB3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107B088">
          <v:rect id="_x0000_i1026" style="width:0;height:1.5pt" o:hralign="center" o:hrstd="t" o:hr="t" fillcolor="#a0a0a0" stroked="f"/>
        </w:pict>
      </w:r>
    </w:p>
    <w:p w14:paraId="6A2F405C" w14:textId="4FFFF968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2: Identify Gaps</w:t>
      </w:r>
    </w:p>
    <w:p w14:paraId="2A4C3283" w14:textId="4554F193" w:rsidR="2C88DA1C" w:rsidRPr="00FF53D6" w:rsidRDefault="00463426" w:rsidP="00FF53D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 xml:space="preserve">If key areas of PCF/KSS cannot be met within the current team: </w:t>
      </w:r>
    </w:p>
    <w:p w14:paraId="19F3E49E" w14:textId="77777777" w:rsidR="00FF53D6" w:rsidRPr="00FF53D6" w:rsidRDefault="00FF53D6" w:rsidP="00FF53D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611904E3" w14:textId="77777777" w:rsidR="00463426" w:rsidRPr="00014398" w:rsidRDefault="00463426" w:rsidP="00014398">
      <w:pPr>
        <w:pStyle w:val="ListParagraph"/>
        <w:numPr>
          <w:ilvl w:val="2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014398">
        <w:rPr>
          <w:rFonts w:eastAsia="Times New Roman" w:cs="Times New Roman"/>
          <w:kern w:val="0"/>
          <w:lang w:eastAsia="en-GB"/>
          <w14:ligatures w14:val="none"/>
        </w:rPr>
        <w:t>The ASYE assessor will identify specific interventions or cases from the wider Adult Social Care (ASC) service to address these gaps.</w:t>
      </w:r>
    </w:p>
    <w:p w14:paraId="17DD74B3" w14:textId="77777777" w:rsidR="00463426" w:rsidRPr="00014398" w:rsidRDefault="00463426" w:rsidP="00014398">
      <w:pPr>
        <w:pStyle w:val="ListParagraph"/>
        <w:numPr>
          <w:ilvl w:val="2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b/>
          <w:bCs/>
          <w:kern w:val="0"/>
          <w:lang w:eastAsia="en-GB"/>
          <w14:ligatures w14:val="none"/>
        </w:rPr>
        <w:t>Timescale:</w:t>
      </w:r>
      <w:r w:rsidRPr="00014398">
        <w:rPr>
          <w:rFonts w:eastAsia="Times New Roman" w:cs="Times New Roman"/>
          <w:kern w:val="0"/>
          <w:lang w:eastAsia="en-GB"/>
          <w14:ligatures w14:val="none"/>
        </w:rPr>
        <w:t xml:space="preserve"> External cases should be identified </w:t>
      </w:r>
      <w:r w:rsidRPr="00014398">
        <w:rPr>
          <w:rFonts w:eastAsia="Times New Roman" w:cs="Times New Roman"/>
          <w:b/>
          <w:bCs/>
          <w:kern w:val="0"/>
          <w:lang w:eastAsia="en-GB"/>
          <w14:ligatures w14:val="none"/>
        </w:rPr>
        <w:t>within the first three months</w:t>
      </w:r>
      <w:r w:rsidRPr="00014398">
        <w:rPr>
          <w:rFonts w:eastAsia="Times New Roman" w:cs="Times New Roman"/>
          <w:kern w:val="0"/>
          <w:lang w:eastAsia="en-GB"/>
          <w14:ligatures w14:val="none"/>
        </w:rPr>
        <w:t xml:space="preserve"> of the ASYE programme.</w:t>
      </w:r>
    </w:p>
    <w:p w14:paraId="25D2B0A6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0F0C14C5">
          <v:rect id="_x0000_i1027" style="width:0;height:1.5pt" o:hralign="center" o:hrstd="t" o:hr="t" fillcolor="#a0a0a0" stroked="f"/>
        </w:pict>
      </w:r>
    </w:p>
    <w:p w14:paraId="1BE7C5C1" w14:textId="4E7AD918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3: Request External Cases</w:t>
      </w:r>
    </w:p>
    <w:p w14:paraId="1DEA9432" w14:textId="77777777" w:rsidR="00463426" w:rsidRPr="00463426" w:rsidRDefault="00463426" w:rsidP="2C88DA1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The ASYE assessor will: </w:t>
      </w:r>
    </w:p>
    <w:p w14:paraId="5B761011" w14:textId="6CCF3893" w:rsidR="2C88DA1C" w:rsidRDefault="2C88DA1C" w:rsidP="2C88DA1C">
      <w:pPr>
        <w:spacing w:beforeAutospacing="1" w:afterAutospacing="1" w:line="240" w:lineRule="auto"/>
        <w:ind w:left="720"/>
        <w:jc w:val="both"/>
        <w:rPr>
          <w:rFonts w:eastAsia="Times New Roman" w:cs="Times New Roman"/>
          <w:lang w:eastAsia="en-GB"/>
        </w:rPr>
      </w:pPr>
    </w:p>
    <w:p w14:paraId="30A9E842" w14:textId="1DCF9FB7" w:rsidR="00463426" w:rsidRPr="00463426" w:rsidRDefault="00463426" w:rsidP="2C88DA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Email all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ASC Team Managers with details of the NQSW’s learning needs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1BA91962">
        <w:rPr>
          <w:rFonts w:eastAsia="Times New Roman" w:cs="Times New Roman"/>
          <w:kern w:val="0"/>
          <w:lang w:eastAsia="en-GB"/>
          <w14:ligatures w14:val="none"/>
        </w:rPr>
        <w:t>and</w:t>
      </w:r>
      <w:r w:rsidR="1BA91962" w:rsidRPr="21122E11">
        <w:rPr>
          <w:rFonts w:eastAsia="Times New Roman" w:cs="Times New Roman"/>
          <w:lang w:eastAsia="en-GB"/>
        </w:rPr>
        <w:t xml:space="preserve"> specify the level of complexity required in line with NQSW </w:t>
      </w:r>
      <w:r w:rsidR="00FF53D6">
        <w:rPr>
          <w:rFonts w:eastAsia="Times New Roman" w:cs="Times New Roman"/>
          <w:lang w:eastAsia="en-GB"/>
        </w:rPr>
        <w:t xml:space="preserve">current </w:t>
      </w:r>
      <w:r w:rsidR="1BA91962" w:rsidRPr="21122E11">
        <w:rPr>
          <w:rFonts w:eastAsia="Times New Roman" w:cs="Times New Roman"/>
          <w:lang w:eastAsia="en-GB"/>
        </w:rPr>
        <w:t xml:space="preserve">capabilities. </w:t>
      </w:r>
    </w:p>
    <w:p w14:paraId="4B4408BF" w14:textId="37113067" w:rsidR="00463426" w:rsidRPr="00463426" w:rsidRDefault="1BA91962" w:rsidP="2C88DA1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21122E11">
        <w:rPr>
          <w:rFonts w:eastAsia="Times New Roman" w:cs="Times New Roman"/>
          <w:lang w:eastAsia="en-GB"/>
        </w:rPr>
        <w:t xml:space="preserve">Assessor will provide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 a </w:t>
      </w:r>
      <w:r w:rsidR="191AE397">
        <w:rPr>
          <w:rFonts w:eastAsia="Times New Roman" w:cs="Times New Roman"/>
          <w:kern w:val="0"/>
          <w:lang w:eastAsia="en-GB"/>
          <w14:ligatures w14:val="none"/>
        </w:rPr>
        <w:t>2-week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 time frame for managers to respond</w:t>
      </w:r>
      <w:r w:rsidR="223DD5C1">
        <w:rPr>
          <w:rFonts w:eastAsia="Times New Roman" w:cs="Times New Roman"/>
          <w:kern w:val="0"/>
          <w:lang w:eastAsia="en-GB"/>
          <w14:ligatures w14:val="none"/>
        </w:rPr>
        <w:t xml:space="preserve"> and provide LAS numbers to Assessor. </w:t>
      </w:r>
    </w:p>
    <w:p w14:paraId="0C106546" w14:textId="77777777" w:rsidR="00463426" w:rsidRPr="00463426" w:rsidRDefault="00463426" w:rsidP="21122E11">
      <w:pPr>
        <w:pStyle w:val="ListParagraph"/>
        <w:spacing w:before="100" w:beforeAutospacing="1" w:after="100" w:afterAutospacing="1" w:line="240" w:lineRule="auto"/>
        <w:ind w:left="1800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58AC6E8E" w14:textId="7FCBD1B8" w:rsidR="00463426" w:rsidRPr="00463426" w:rsidRDefault="00463426" w:rsidP="21122E11">
      <w:pPr>
        <w:pStyle w:val="ListParagraph"/>
        <w:spacing w:before="100" w:beforeAutospacing="1" w:after="100" w:afterAutospacing="1" w:line="240" w:lineRule="auto"/>
        <w:ind w:left="1800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55990B82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5D85885B">
          <v:rect id="_x0000_i1028" style="width:0;height:1.5pt" o:hralign="center" o:hrstd="t" o:hr="t" fillcolor="#a0a0a0" stroked="f"/>
        </w:pict>
      </w:r>
    </w:p>
    <w:p w14:paraId="02D79A8B" w14:textId="412EF3F7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4: Case Selection</w:t>
      </w:r>
    </w:p>
    <w:p w14:paraId="2B0252D9" w14:textId="77777777" w:rsidR="00463426" w:rsidRPr="00463426" w:rsidRDefault="00463426" w:rsidP="2C88DA1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The ASYE assessor, line manager, and NQSW will: </w:t>
      </w:r>
    </w:p>
    <w:p w14:paraId="34EB1B62" w14:textId="1154AD19" w:rsidR="2C88DA1C" w:rsidRDefault="2C88DA1C" w:rsidP="2C88DA1C">
      <w:pPr>
        <w:spacing w:beforeAutospacing="1" w:afterAutospacing="1" w:line="240" w:lineRule="auto"/>
        <w:ind w:left="720"/>
        <w:jc w:val="both"/>
        <w:rPr>
          <w:rFonts w:eastAsia="Times New Roman" w:cs="Times New Roman"/>
          <w:lang w:eastAsia="en-GB"/>
        </w:rPr>
      </w:pPr>
    </w:p>
    <w:p w14:paraId="133116B1" w14:textId="77777777" w:rsidR="00463426" w:rsidRPr="00463426" w:rsidRDefault="00463426" w:rsidP="2C88DA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Review nominated cases.</w:t>
      </w:r>
    </w:p>
    <w:p w14:paraId="5D403F31" w14:textId="7EACADFB" w:rsidR="00463426" w:rsidRPr="00463426" w:rsidRDefault="00463426" w:rsidP="2C88DA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Select the most appropriate case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in relation to NQSW’s development needs. </w:t>
      </w:r>
    </w:p>
    <w:p w14:paraId="6822AC2A" w14:textId="02E82D37" w:rsidR="2C88DA1C" w:rsidRPr="00FF53D6" w:rsidRDefault="00463426" w:rsidP="2C88DA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b/>
          <w:bCs/>
          <w:kern w:val="0"/>
          <w:lang w:eastAsia="en-GB"/>
          <w14:ligatures w14:val="none"/>
        </w:rPr>
        <w:t>Limit: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Maximum of </w:t>
      </w: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two external cases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during the ASYE year unless justified (e.g</w:t>
      </w:r>
      <w:r w:rsidR="00FF53D6">
        <w:rPr>
          <w:rFonts w:eastAsia="Times New Roman" w:cs="Times New Roman"/>
          <w:kern w:val="0"/>
          <w:lang w:eastAsia="en-GB"/>
          <w14:ligatures w14:val="none"/>
        </w:rPr>
        <w:t>.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unmet PCF/KSS requirements)</w:t>
      </w:r>
      <w:r w:rsidR="00FF53D6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8D62054" w14:textId="66CFB508" w:rsidR="2C88DA1C" w:rsidRDefault="2C88DA1C" w:rsidP="2C88DA1C">
      <w:pPr>
        <w:spacing w:beforeAutospacing="1" w:afterAutospacing="1" w:line="240" w:lineRule="auto"/>
        <w:jc w:val="both"/>
        <w:rPr>
          <w:rFonts w:eastAsia="Times New Roman" w:cs="Times New Roman"/>
          <w:lang w:eastAsia="en-GB"/>
        </w:rPr>
      </w:pPr>
    </w:p>
    <w:p w14:paraId="1C22364C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6CCED23">
          <v:rect id="_x0000_i1029" style="width:0;height:1.5pt" o:hralign="center" o:hrstd="t" o:hr="t" fillcolor="#a0a0a0" stroked="f"/>
        </w:pict>
      </w:r>
    </w:p>
    <w:p w14:paraId="6789CE8F" w14:textId="77777777" w:rsidR="00463426" w:rsidRPr="00463426" w:rsidRDefault="00463426" w:rsidP="2C88DA1C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5: Allocation and Communication</w:t>
      </w:r>
    </w:p>
    <w:p w14:paraId="20E4C44E" w14:textId="7E520DBF" w:rsidR="2C88DA1C" w:rsidRDefault="2C88DA1C" w:rsidP="2C88DA1C">
      <w:pPr>
        <w:spacing w:beforeAutospacing="1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</w:p>
    <w:p w14:paraId="18166B24" w14:textId="564755B4" w:rsidR="2C88DA1C" w:rsidRPr="00FF53D6" w:rsidRDefault="00463426" w:rsidP="00FF53D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>E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xternal Team Manager will: </w:t>
      </w:r>
    </w:p>
    <w:p w14:paraId="4A939BF9" w14:textId="754B81A2" w:rsidR="00463426" w:rsidRPr="007676EA" w:rsidRDefault="00463426" w:rsidP="2C88DA1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Allocate </w:t>
      </w:r>
      <w:r w:rsidRPr="007676EA">
        <w:rPr>
          <w:rFonts w:eastAsia="Times New Roman" w:cs="Times New Roman"/>
          <w:b/>
          <w:bCs/>
          <w:kern w:val="0"/>
          <w:lang w:eastAsia="en-GB"/>
          <w14:ligatures w14:val="none"/>
        </w:rPr>
        <w:t>workflow only</w:t>
      </w: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 (not </w:t>
      </w:r>
      <w:r w:rsidR="00F36012" w:rsidRPr="007676EA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full </w:t>
      </w:r>
      <w:r w:rsidR="47143A60" w:rsidRPr="007676EA">
        <w:rPr>
          <w:rFonts w:eastAsia="Times New Roman" w:cs="Times New Roman"/>
          <w:kern w:val="0"/>
          <w:lang w:eastAsia="en-GB"/>
          <w14:ligatures w14:val="none"/>
        </w:rPr>
        <w:t>case)</w:t>
      </w: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 to the NQSW.</w:t>
      </w:r>
    </w:p>
    <w:p w14:paraId="1BD379F9" w14:textId="141EABA9" w:rsidR="00463426" w:rsidRPr="007676EA" w:rsidRDefault="00463426" w:rsidP="007676EA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Provide </w:t>
      </w:r>
      <w:r w:rsidR="00F36012" w:rsidRPr="007676EA">
        <w:rPr>
          <w:rFonts w:eastAsia="Times New Roman" w:cs="Times New Roman"/>
          <w:kern w:val="0"/>
          <w:lang w:eastAsia="en-GB"/>
          <w14:ligatures w14:val="none"/>
        </w:rPr>
        <w:t xml:space="preserve">all </w:t>
      </w: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case management support and supervision </w:t>
      </w:r>
      <w:r w:rsidR="00906F73" w:rsidRPr="007676EA">
        <w:rPr>
          <w:rFonts w:eastAsia="Times New Roman" w:cs="Times New Roman"/>
          <w:kern w:val="0"/>
          <w:lang w:eastAsia="en-GB"/>
          <w14:ligatures w14:val="none"/>
        </w:rPr>
        <w:t xml:space="preserve">to NQSW </w:t>
      </w:r>
      <w:r w:rsidRPr="007676EA">
        <w:rPr>
          <w:rFonts w:eastAsia="Times New Roman" w:cs="Times New Roman"/>
          <w:kern w:val="0"/>
          <w:lang w:eastAsia="en-GB"/>
          <w14:ligatures w14:val="none"/>
        </w:rPr>
        <w:t>for this case.</w:t>
      </w:r>
    </w:p>
    <w:p w14:paraId="1AFB091F" w14:textId="225F3E72" w:rsidR="00463426" w:rsidRPr="007676EA" w:rsidRDefault="00463426" w:rsidP="007676EA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7676EA">
        <w:rPr>
          <w:rFonts w:eastAsia="Times New Roman" w:cs="Times New Roman"/>
          <w:kern w:val="0"/>
          <w:lang w:eastAsia="en-GB"/>
          <w14:ligatures w14:val="none"/>
        </w:rPr>
        <w:t xml:space="preserve">Share contact details for duty manager or cover arrangements during </w:t>
      </w:r>
      <w:r w:rsidR="00F36012" w:rsidRPr="007676EA">
        <w:rPr>
          <w:rFonts w:eastAsia="Times New Roman" w:cs="Times New Roman"/>
          <w:kern w:val="0"/>
          <w:lang w:eastAsia="en-GB"/>
          <w14:ligatures w14:val="none"/>
        </w:rPr>
        <w:t xml:space="preserve">any period of </w:t>
      </w:r>
      <w:r w:rsidRPr="007676EA">
        <w:rPr>
          <w:rFonts w:eastAsia="Times New Roman" w:cs="Times New Roman"/>
          <w:kern w:val="0"/>
          <w:lang w:eastAsia="en-GB"/>
          <w14:ligatures w14:val="none"/>
        </w:rPr>
        <w:t>absence</w:t>
      </w:r>
      <w:r w:rsidR="00906F73" w:rsidRPr="007676EA">
        <w:rPr>
          <w:rFonts w:eastAsia="Times New Roman" w:cs="Times New Roman"/>
          <w:kern w:val="0"/>
          <w:lang w:eastAsia="en-GB"/>
          <w14:ligatures w14:val="none"/>
        </w:rPr>
        <w:t xml:space="preserve"> with NQSW and Line Manager. </w:t>
      </w:r>
    </w:p>
    <w:p w14:paraId="719B92C9" w14:textId="77777777" w:rsidR="00906F73" w:rsidRPr="00463426" w:rsidRDefault="00906F73" w:rsidP="007676EA">
      <w:p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2B999E90" w14:textId="1911B7E3" w:rsidR="00463426" w:rsidRPr="00463426" w:rsidRDefault="00463426" w:rsidP="2C88DA1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The</w:t>
      </w:r>
      <w:r w:rsidR="007676EA">
        <w:rPr>
          <w:rFonts w:eastAsia="Times New Roman" w:cs="Times New Roman"/>
          <w:kern w:val="0"/>
          <w:lang w:eastAsia="en-GB"/>
          <w14:ligatures w14:val="none"/>
        </w:rPr>
        <w:t xml:space="preserve"> E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xternal </w:t>
      </w:r>
      <w:r w:rsidR="007676EA">
        <w:rPr>
          <w:rFonts w:eastAsia="Times New Roman" w:cs="Times New Roman"/>
          <w:kern w:val="0"/>
          <w:lang w:eastAsia="en-GB"/>
          <w14:ligatures w14:val="none"/>
        </w:rPr>
        <w:t>M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anager will </w:t>
      </w: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keep the line manager </w:t>
      </w:r>
      <w:r w:rsidR="00906F73">
        <w:rPr>
          <w:rFonts w:eastAsia="Times New Roman" w:cs="Times New Roman"/>
          <w:b/>
          <w:bCs/>
          <w:kern w:val="0"/>
          <w:lang w:eastAsia="en-GB"/>
          <w14:ligatures w14:val="none"/>
        </w:rPr>
        <w:t>and ASYE</w:t>
      </w:r>
      <w:r w:rsidR="002958C6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78CE6170">
        <w:rPr>
          <w:rFonts w:eastAsia="Times New Roman" w:cs="Times New Roman"/>
          <w:b/>
          <w:bCs/>
          <w:kern w:val="0"/>
          <w:lang w:eastAsia="en-GB"/>
          <w14:ligatures w14:val="none"/>
        </w:rPr>
        <w:t>assessor informed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of any concerns</w:t>
      </w:r>
      <w:r w:rsidR="00906F73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="002958C6">
        <w:rPr>
          <w:rFonts w:eastAsia="Times New Roman" w:cs="Times New Roman"/>
          <w:kern w:val="0"/>
          <w:lang w:eastAsia="en-GB"/>
          <w14:ligatures w14:val="none"/>
        </w:rPr>
        <w:t>provide feedback on NQSW’s progres</w:t>
      </w:r>
      <w:r w:rsidR="007676EA">
        <w:rPr>
          <w:rFonts w:eastAsia="Times New Roman" w:cs="Times New Roman"/>
          <w:kern w:val="0"/>
          <w:lang w:eastAsia="en-GB"/>
          <w14:ligatures w14:val="none"/>
        </w:rPr>
        <w:t xml:space="preserve">s. </w:t>
      </w:r>
    </w:p>
    <w:p w14:paraId="3F64CBE9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EB24F00">
          <v:rect id="_x0000_i1030" style="width:0;height:1.5pt" o:hralign="center" o:hrstd="t" o:hr="t" fillcolor="#a0a0a0" stroked="f"/>
        </w:pict>
      </w:r>
    </w:p>
    <w:p w14:paraId="00CF40B1" w14:textId="09AFCBC3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6: Supervision and Support</w:t>
      </w:r>
    </w:p>
    <w:p w14:paraId="77C14A04" w14:textId="0CEDD2FE" w:rsidR="00FF53D6" w:rsidRDefault="00463426" w:rsidP="00FF53D6">
      <w:pPr>
        <w:numPr>
          <w:ilvl w:val="0"/>
          <w:numId w:val="16"/>
        </w:numPr>
        <w:spacing w:before="240"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For external cases: </w:t>
      </w:r>
    </w:p>
    <w:p w14:paraId="7169ACBA" w14:textId="77777777" w:rsidR="00FF53D6" w:rsidRPr="00FF53D6" w:rsidRDefault="00FF53D6" w:rsidP="00FF53D6">
      <w:pPr>
        <w:spacing w:before="240" w:after="0" w:line="240" w:lineRule="auto"/>
        <w:ind w:left="720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1E3E620F" w14:textId="5F0A21C5" w:rsidR="00463426" w:rsidRPr="00463426" w:rsidRDefault="00463426" w:rsidP="00FF53D6">
      <w:pPr>
        <w:numPr>
          <w:ilvl w:val="1"/>
          <w:numId w:val="27"/>
        </w:numPr>
        <w:spacing w:before="240"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>E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xternal Team Manager or </w:t>
      </w:r>
      <w:r w:rsidR="62AE6160" w:rsidRPr="00463426">
        <w:rPr>
          <w:rFonts w:eastAsia="Times New Roman" w:cs="Times New Roman"/>
          <w:kern w:val="0"/>
          <w:lang w:eastAsia="en-GB"/>
          <w14:ligatures w14:val="none"/>
        </w:rPr>
        <w:t xml:space="preserve">External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Senior Social Worker provides all case-related supervisio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>n</w:t>
      </w:r>
      <w:r w:rsidR="007676EA">
        <w:rPr>
          <w:rFonts w:eastAsia="Times New Roman" w:cs="Times New Roman"/>
          <w:kern w:val="0"/>
          <w:lang w:eastAsia="en-GB"/>
          <w14:ligatures w14:val="none"/>
        </w:rPr>
        <w:t>, advice</w:t>
      </w:r>
      <w:r w:rsidR="00F77F23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="0D0C6BFF">
        <w:rPr>
          <w:rFonts w:eastAsia="Times New Roman" w:cs="Times New Roman"/>
          <w:kern w:val="0"/>
          <w:lang w:eastAsia="en-GB"/>
          <w14:ligatures w14:val="none"/>
        </w:rPr>
        <w:t>support to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 NQSW. </w:t>
      </w:r>
    </w:p>
    <w:p w14:paraId="5A44A8F2" w14:textId="77777777" w:rsidR="00463426" w:rsidRDefault="00463426" w:rsidP="00FF53D6">
      <w:pPr>
        <w:numPr>
          <w:ilvl w:val="1"/>
          <w:numId w:val="27"/>
        </w:numPr>
        <w:spacing w:before="240"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The ASYE assessor and line manager remain responsible for overall ASYE progress and workload monitoring.</w:t>
      </w:r>
    </w:p>
    <w:p w14:paraId="30001D61" w14:textId="77777777" w:rsidR="00F77F23" w:rsidRPr="00463426" w:rsidRDefault="00F77F23" w:rsidP="00F77F23">
      <w:pPr>
        <w:spacing w:before="100" w:beforeAutospacing="1" w:after="100" w:afterAutospacing="1" w:line="240" w:lineRule="auto"/>
        <w:ind w:left="1440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17124168" w14:textId="475C5E7F" w:rsidR="00463426" w:rsidRPr="00463426" w:rsidRDefault="00463426" w:rsidP="2C88DA1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Workload checks: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ASYE assessor and NQSW must raise concerns</w:t>
      </w:r>
      <w:r w:rsidR="00F77F23">
        <w:rPr>
          <w:rFonts w:eastAsia="Times New Roman" w:cs="Times New Roman"/>
          <w:kern w:val="0"/>
          <w:lang w:eastAsia="en-GB"/>
          <w14:ligatures w14:val="none"/>
        </w:rPr>
        <w:t xml:space="preserve"> with Line </w:t>
      </w:r>
      <w:r w:rsidR="7BEB8CE4">
        <w:rPr>
          <w:rFonts w:eastAsia="Times New Roman" w:cs="Times New Roman"/>
          <w:kern w:val="0"/>
          <w:lang w:eastAsia="en-GB"/>
          <w14:ligatures w14:val="none"/>
        </w:rPr>
        <w:t>Manager if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workload exceeds ASYE support arrangements (10% protected caseload).</w:t>
      </w:r>
      <w:r w:rsidR="00F77F2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3263DF11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98D936E">
          <v:rect id="_x0000_i1031" style="width:0;height:1.5pt" o:hralign="center" o:hrstd="t" o:hr="t" fillcolor="#a0a0a0" stroked="f"/>
        </w:pict>
      </w:r>
    </w:p>
    <w:p w14:paraId="1FB25612" w14:textId="29D81AE3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2C88DA1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Governance and Accountability</w:t>
      </w:r>
    </w:p>
    <w:p w14:paraId="62195B30" w14:textId="66B9A468" w:rsidR="00463426" w:rsidRPr="00463426" w:rsidRDefault="00463426" w:rsidP="00F3601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ASYE assessor: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Oversees </w:t>
      </w:r>
      <w:r w:rsidR="00F77F23">
        <w:rPr>
          <w:rFonts w:eastAsia="Times New Roman" w:cs="Times New Roman"/>
          <w:kern w:val="0"/>
          <w:lang w:eastAsia="en-GB"/>
          <w14:ligatures w14:val="none"/>
        </w:rPr>
        <w:t xml:space="preserve">ASYE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learning plan, monitors progress, and ensures compliance with ASYE standards.</w:t>
      </w:r>
    </w:p>
    <w:p w14:paraId="01CC376E" w14:textId="77777777" w:rsidR="00463426" w:rsidRPr="00463426" w:rsidRDefault="00463426" w:rsidP="00F3601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Line manager: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Maintains responsibility for NQSW’s core workload and wellbeing.</w:t>
      </w:r>
    </w:p>
    <w:p w14:paraId="12771529" w14:textId="38CB5C04" w:rsidR="00463426" w:rsidRPr="00463426" w:rsidRDefault="00463426" w:rsidP="00F3601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>External manager: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Responsible for case-specific supervision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, support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and safeguarding compliance</w:t>
      </w:r>
      <w:r w:rsidR="00F77F23">
        <w:rPr>
          <w:rFonts w:eastAsia="Times New Roman" w:cs="Times New Roman"/>
          <w:kern w:val="0"/>
          <w:lang w:eastAsia="en-GB"/>
          <w14:ligatures w14:val="none"/>
        </w:rPr>
        <w:t xml:space="preserve"> with external cases allocated to NQSW. </w:t>
      </w:r>
    </w:p>
    <w:p w14:paraId="7D738116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75DDA66">
          <v:rect id="_x0000_i1032" style="width:0;height:1.5pt" o:hralign="center" o:hrstd="t" o:hr="t" fillcolor="#a0a0a0" stroked="f"/>
        </w:pict>
      </w:r>
    </w:p>
    <w:p w14:paraId="12961AE2" w14:textId="628C4AFB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2C88DA1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Safeguarding and Risk</w:t>
      </w:r>
    </w:p>
    <w:p w14:paraId="60C20E7F" w14:textId="593DB9B0" w:rsidR="00463426" w:rsidRPr="00463426" w:rsidRDefault="00463426" w:rsidP="00F3601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External cases must comply with local safeguarding procedures</w:t>
      </w:r>
      <w:r w:rsidR="00F77F23">
        <w:rPr>
          <w:rFonts w:eastAsia="Times New Roman" w:cs="Times New Roman"/>
          <w:kern w:val="0"/>
          <w:lang w:eastAsia="en-GB"/>
          <w14:ligatures w14:val="none"/>
        </w:rPr>
        <w:t xml:space="preserve">. </w:t>
      </w:r>
    </w:p>
    <w:p w14:paraId="0FB313C7" w14:textId="27F3D1E1" w:rsidR="00463426" w:rsidRPr="00463426" w:rsidRDefault="00463426" w:rsidP="2C88DA1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Any safeguarding concerns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related to the external case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must be escalated immediately to the </w:t>
      </w:r>
      <w:r w:rsidR="00903FC7">
        <w:rPr>
          <w:rFonts w:eastAsia="Times New Roman" w:cs="Times New Roman"/>
          <w:kern w:val="0"/>
          <w:lang w:eastAsia="en-GB"/>
          <w14:ligatures w14:val="none"/>
        </w:rPr>
        <w:t>E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xternal </w:t>
      </w:r>
      <w:r w:rsidR="00903FC7">
        <w:rPr>
          <w:rFonts w:eastAsia="Times New Roman" w:cs="Times New Roman"/>
          <w:kern w:val="0"/>
          <w:lang w:eastAsia="en-GB"/>
          <w14:ligatures w14:val="none"/>
        </w:rPr>
        <w:t>M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anager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and the </w:t>
      </w:r>
      <w:r w:rsidR="1953BA7B">
        <w:rPr>
          <w:rFonts w:eastAsia="Times New Roman" w:cs="Times New Roman"/>
          <w:kern w:val="0"/>
          <w:lang w:eastAsia="en-GB"/>
          <w14:ligatures w14:val="none"/>
        </w:rPr>
        <w:t>discussion recorded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FF53D6">
        <w:rPr>
          <w:rFonts w:eastAsia="Times New Roman" w:cs="Times New Roman"/>
          <w:kern w:val="0"/>
          <w:lang w:eastAsia="en-GB"/>
          <w14:ligatures w14:val="none"/>
        </w:rPr>
        <w:t>o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n LAS.</w:t>
      </w:r>
    </w:p>
    <w:p w14:paraId="640A7383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6904335">
          <v:rect id="_x0000_i1033" style="width:0;height:1.5pt" o:hralign="center" o:hrstd="t" o:hr="t" fillcolor="#a0a0a0" stroked="f"/>
        </w:pict>
      </w:r>
    </w:p>
    <w:p w14:paraId="33757A1D" w14:textId="4FC77EBA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2C88DA1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Evidence of Learning</w:t>
      </w:r>
    </w:p>
    <w:p w14:paraId="590D9EB5" w14:textId="0DB5C03D" w:rsidR="00463426" w:rsidRPr="00463426" w:rsidRDefault="00463426" w:rsidP="00F3601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NQSW must complete a </w:t>
      </w:r>
      <w:r w:rsidRPr="00463426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reflective log </w:t>
      </w:r>
      <w:r w:rsidR="00F36012" w:rsidRPr="00903FC7">
        <w:rPr>
          <w:rFonts w:eastAsia="Times New Roman" w:cs="Times New Roman"/>
          <w:b/>
          <w:bCs/>
          <w:kern w:val="0"/>
          <w:lang w:eastAsia="en-GB"/>
          <w14:ligatures w14:val="none"/>
        </w:rPr>
        <w:t>or supervision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 record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for each external case, linking learning to PCF and KSS.</w:t>
      </w:r>
    </w:p>
    <w:p w14:paraId="7A8E75C5" w14:textId="77777777" w:rsidR="00463426" w:rsidRPr="00463426" w:rsidRDefault="00463426" w:rsidP="00F3601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Logs should be reviewed during ASYE supervision sessions.</w:t>
      </w:r>
    </w:p>
    <w:p w14:paraId="4648F59C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76F4563">
          <v:rect id="_x0000_i1034" style="width:0;height:1.5pt" o:hralign="center" o:hrstd="t" o:hr="t" fillcolor="#a0a0a0" stroked="f"/>
        </w:pict>
      </w:r>
    </w:p>
    <w:p w14:paraId="224A8C6A" w14:textId="3355852E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2C88DA1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Escalation Route</w:t>
      </w:r>
    </w:p>
    <w:p w14:paraId="48DF67C3" w14:textId="288E5739" w:rsidR="2C88DA1C" w:rsidRPr="00FF53D6" w:rsidRDefault="00463426" w:rsidP="00FF53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If learning needs cannot be met internally or externally: </w:t>
      </w:r>
    </w:p>
    <w:p w14:paraId="7C8C5AF1" w14:textId="2185BEDC" w:rsidR="00463426" w:rsidRDefault="00463426" w:rsidP="2C88DA1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Escalate </w:t>
      </w:r>
      <w:r w:rsidR="00F36012">
        <w:rPr>
          <w:rFonts w:eastAsia="Times New Roman" w:cs="Times New Roman"/>
          <w:kern w:val="0"/>
          <w:lang w:eastAsia="en-GB"/>
          <w14:ligatures w14:val="none"/>
        </w:rPr>
        <w:t xml:space="preserve">to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ASYE Lead </w:t>
      </w:r>
      <w:r w:rsidR="4F626B6C" w:rsidRPr="00463426">
        <w:rPr>
          <w:rFonts w:eastAsia="Times New Roman" w:cs="Times New Roman"/>
          <w:kern w:val="0"/>
          <w:lang w:eastAsia="en-GB"/>
          <w14:ligatures w14:val="none"/>
        </w:rPr>
        <w:t xml:space="preserve">based within Principal Social Work Team </w:t>
      </w:r>
      <w:r w:rsidRPr="00463426">
        <w:rPr>
          <w:rFonts w:eastAsia="Times New Roman" w:cs="Times New Roman"/>
          <w:kern w:val="0"/>
          <w:lang w:eastAsia="en-GB"/>
          <w14:ligatures w14:val="none"/>
        </w:rPr>
        <w:t>for alternative solutions.</w:t>
      </w:r>
    </w:p>
    <w:p w14:paraId="74D679E0" w14:textId="77777777" w:rsidR="00FF53D6" w:rsidRDefault="00FF53D6" w:rsidP="00FF53D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5C03F83D" w14:textId="77777777" w:rsidR="00FF53D6" w:rsidRPr="00FF53D6" w:rsidRDefault="00FF53D6" w:rsidP="00FF53D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2F89D12E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2C5A7A1">
          <v:rect id="_x0000_i1035" style="width:0;height:1.5pt" o:hralign="center" o:hrstd="t" o:hr="t" fillcolor="#a0a0a0" stroked="f"/>
        </w:pict>
      </w:r>
    </w:p>
    <w:p w14:paraId="003015B2" w14:textId="1F572B48" w:rsidR="2C88DA1C" w:rsidRPr="00FF53D6" w:rsidRDefault="00463426" w:rsidP="00FF53D6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2C88DA1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Monitoring</w:t>
      </w:r>
    </w:p>
    <w:p w14:paraId="5CA8C412" w14:textId="77777777" w:rsidR="00463426" w:rsidRPr="00463426" w:rsidRDefault="00463426" w:rsidP="00F3601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 xml:space="preserve">Quarterly review of progress against PCF/KSS with: </w:t>
      </w:r>
    </w:p>
    <w:p w14:paraId="5176DA01" w14:textId="77777777" w:rsidR="00463426" w:rsidRPr="00463426" w:rsidRDefault="00463426" w:rsidP="2C88DA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ASYE assessor</w:t>
      </w:r>
    </w:p>
    <w:p w14:paraId="57962EAE" w14:textId="77777777" w:rsidR="00463426" w:rsidRPr="00463426" w:rsidRDefault="00463426" w:rsidP="2C88DA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Line manager</w:t>
      </w:r>
    </w:p>
    <w:p w14:paraId="3789ACA4" w14:textId="77777777" w:rsidR="00463426" w:rsidRDefault="00463426" w:rsidP="2C88DA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463426">
        <w:rPr>
          <w:rFonts w:eastAsia="Times New Roman" w:cs="Times New Roman"/>
          <w:kern w:val="0"/>
          <w:lang w:eastAsia="en-GB"/>
          <w14:ligatures w14:val="none"/>
        </w:rPr>
        <w:t>NQSW</w:t>
      </w:r>
    </w:p>
    <w:p w14:paraId="0C10A763" w14:textId="77777777" w:rsidR="00665837" w:rsidRDefault="00665837" w:rsidP="00665837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22271F4D" w14:textId="6E242AF1" w:rsidR="2C88DA1C" w:rsidRDefault="00F36012" w:rsidP="2C88DA1C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kern w:val="0"/>
          <w:sz w:val="26"/>
          <w:szCs w:val="26"/>
          <w:lang w:val="en-US"/>
          <w14:ligatures w14:val="none"/>
        </w:rPr>
      </w:pPr>
      <w:r w:rsidRPr="00A56B4F">
        <w:rPr>
          <w:rFonts w:eastAsia="MS Gothic" w:cs="Times New Roman"/>
          <w:b/>
          <w:bCs/>
          <w:kern w:val="0"/>
          <w:sz w:val="26"/>
          <w:szCs w:val="26"/>
          <w:lang w:val="en-US"/>
          <w14:ligatures w14:val="none"/>
        </w:rPr>
        <w:t>Equality and Transparency</w:t>
      </w:r>
    </w:p>
    <w:p w14:paraId="46B9A343" w14:textId="77777777" w:rsidR="00FF53D6" w:rsidRPr="00FF53D6" w:rsidRDefault="00FF53D6" w:rsidP="2C88DA1C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36BA49C" w14:textId="77777777" w:rsidR="00A71868" w:rsidRDefault="00F36012" w:rsidP="2C88DA1C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eastAsia="MS Mincho" w:cs="Times New Roman"/>
          <w:kern w:val="0"/>
          <w:sz w:val="22"/>
          <w:szCs w:val="22"/>
          <w:lang w:val="en-US"/>
          <w14:ligatures w14:val="none"/>
        </w:rPr>
      </w:pP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All office-based NQSWs will have equal access to opportunities. </w:t>
      </w:r>
    </w:p>
    <w:p w14:paraId="3ACD88F8" w14:textId="5F632625" w:rsidR="00F36012" w:rsidRPr="00A56B4F" w:rsidRDefault="00F36012" w:rsidP="2C88DA1C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eastAsia="MS Mincho" w:cs="Times New Roman"/>
          <w:kern w:val="0"/>
          <w:sz w:val="22"/>
          <w:szCs w:val="22"/>
          <w:lang w:val="en-US"/>
          <w14:ligatures w14:val="none"/>
        </w:rPr>
      </w:pPr>
      <w:r w:rsidRPr="00A56B4F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>Allocation decisions will be documented and reviewed</w:t>
      </w:r>
      <w:r w:rsidR="00A71868">
        <w:rPr>
          <w:rFonts w:eastAsia="MS Mincho" w:cs="Times New Roman"/>
          <w:kern w:val="0"/>
          <w:sz w:val="22"/>
          <w:szCs w:val="22"/>
          <w:lang w:val="en-US"/>
          <w14:ligatures w14:val="none"/>
        </w:rPr>
        <w:t xml:space="preserve"> in supervision records by Line Manager, External Manager and ASYE assessor. </w:t>
      </w:r>
    </w:p>
    <w:p w14:paraId="241433ED" w14:textId="77777777" w:rsidR="00F36012" w:rsidRPr="00463426" w:rsidRDefault="00F36012" w:rsidP="00F36012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</w:p>
    <w:p w14:paraId="37B0EAD7" w14:textId="77777777" w:rsidR="00463426" w:rsidRPr="00463426" w:rsidRDefault="00FF53D6" w:rsidP="00F36012">
      <w:pPr>
        <w:spacing w:after="0" w:line="24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13BC9BF7">
          <v:rect id="_x0000_i1036" style="width:0;height:1.5pt" o:hralign="center" o:hrstd="t" o:hr="t" fillcolor="#a0a0a0" stroked="f"/>
        </w:pict>
      </w:r>
    </w:p>
    <w:p w14:paraId="192E1D17" w14:textId="73393DB3" w:rsidR="00463426" w:rsidRPr="00463426" w:rsidRDefault="00463426" w:rsidP="2C88DA1C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426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Summary Checklist </w:t>
      </w:r>
    </w:p>
    <w:p w14:paraId="2C336481" w14:textId="147D1D3F" w:rsidR="2C88DA1C" w:rsidRDefault="2C88DA1C" w:rsidP="2C88DA1C">
      <w:pPr>
        <w:spacing w:beforeAutospacing="1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</w:p>
    <w:p w14:paraId="111821CC" w14:textId="77777777" w:rsidR="00F36012" w:rsidRPr="00FF53D6" w:rsidRDefault="00463426" w:rsidP="00FF53D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>Development needs identified at IPDM/SAAM</w:t>
      </w:r>
    </w:p>
    <w:p w14:paraId="502170DB" w14:textId="77777777" w:rsidR="00F36012" w:rsidRPr="00FF53D6" w:rsidRDefault="00463426" w:rsidP="00FF53D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>External cases sourced within 3 months if needed</w:t>
      </w:r>
    </w:p>
    <w:p w14:paraId="5413812E" w14:textId="43708EC2" w:rsidR="00F36012" w:rsidRPr="00FF53D6" w:rsidRDefault="00463426" w:rsidP="00FF53D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>Communication protocol agreed between managers</w:t>
      </w:r>
    </w:p>
    <w:p w14:paraId="48F20FF0" w14:textId="77777777" w:rsidR="00F36012" w:rsidRPr="00FF53D6" w:rsidRDefault="00463426" w:rsidP="00FF53D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>Workload monitored (10% protected caseload)</w:t>
      </w:r>
    </w:p>
    <w:p w14:paraId="6173180E" w14:textId="77777777" w:rsidR="00F36012" w:rsidRPr="00FF53D6" w:rsidRDefault="00463426" w:rsidP="00FF53D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>Reflective logs completed for external cases</w:t>
      </w:r>
    </w:p>
    <w:p w14:paraId="191EACD0" w14:textId="671310A9" w:rsidR="00463426" w:rsidRPr="00FF53D6" w:rsidRDefault="00463426" w:rsidP="00FF53D6">
      <w:pPr>
        <w:pStyle w:val="ListParagraph"/>
        <w:numPr>
          <w:ilvl w:val="0"/>
          <w:numId w:val="28"/>
        </w:numPr>
        <w:spacing w:before="100" w:beforeAutospacing="1" w:after="100" w:afterAutospacing="1" w:line="480" w:lineRule="auto"/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FF53D6">
        <w:rPr>
          <w:rFonts w:eastAsia="Times New Roman" w:cs="Times New Roman"/>
          <w:kern w:val="0"/>
          <w:lang w:eastAsia="en-GB"/>
          <w14:ligatures w14:val="none"/>
        </w:rPr>
        <w:t>Quarterly reviews documented</w:t>
      </w:r>
    </w:p>
    <w:p w14:paraId="5B4D4660" w14:textId="77777777" w:rsidR="00D97260" w:rsidRPr="00D97260" w:rsidRDefault="00D97260" w:rsidP="00F36012">
      <w:pPr>
        <w:jc w:val="both"/>
        <w:rPr>
          <w:lang w:val="en-US"/>
        </w:rPr>
      </w:pPr>
    </w:p>
    <w:p w14:paraId="7075B8C3" w14:textId="77777777" w:rsidR="00D97260" w:rsidRDefault="00D97260" w:rsidP="00F36012">
      <w:pPr>
        <w:jc w:val="both"/>
      </w:pPr>
    </w:p>
    <w:sectPr w:rsidR="00D972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3B8A" w14:textId="77777777" w:rsidR="00FF53D6" w:rsidRDefault="00FF53D6">
      <w:pPr>
        <w:spacing w:after="0" w:line="240" w:lineRule="auto"/>
      </w:pPr>
      <w:r>
        <w:separator/>
      </w:r>
    </w:p>
  </w:endnote>
  <w:endnote w:type="continuationSeparator" w:id="0">
    <w:p w14:paraId="63090647" w14:textId="77777777" w:rsidR="00FF53D6" w:rsidRDefault="00F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88DA1C" w14:paraId="6E4213E4" w14:textId="77777777" w:rsidTr="2C88DA1C">
      <w:trPr>
        <w:trHeight w:val="300"/>
      </w:trPr>
      <w:tc>
        <w:tcPr>
          <w:tcW w:w="3005" w:type="dxa"/>
        </w:tcPr>
        <w:p w14:paraId="18F8AFB3" w14:textId="4F754D08" w:rsidR="2C88DA1C" w:rsidRDefault="2C88DA1C" w:rsidP="2C88DA1C">
          <w:pPr>
            <w:pStyle w:val="Header"/>
            <w:ind w:left="-115"/>
          </w:pPr>
        </w:p>
      </w:tc>
      <w:tc>
        <w:tcPr>
          <w:tcW w:w="3005" w:type="dxa"/>
        </w:tcPr>
        <w:p w14:paraId="5E70DB94" w14:textId="22FDEA50" w:rsidR="2C88DA1C" w:rsidRDefault="2C88DA1C" w:rsidP="2C88DA1C">
          <w:pPr>
            <w:pStyle w:val="Header"/>
            <w:jc w:val="center"/>
          </w:pPr>
        </w:p>
      </w:tc>
      <w:tc>
        <w:tcPr>
          <w:tcW w:w="3005" w:type="dxa"/>
        </w:tcPr>
        <w:p w14:paraId="3AACC595" w14:textId="6993CB02" w:rsidR="2C88DA1C" w:rsidRDefault="2C88DA1C" w:rsidP="2C88DA1C">
          <w:pPr>
            <w:pStyle w:val="Header"/>
            <w:ind w:right="-115"/>
            <w:jc w:val="right"/>
          </w:pPr>
        </w:p>
      </w:tc>
    </w:tr>
  </w:tbl>
  <w:p w14:paraId="34DE32DB" w14:textId="47078287" w:rsidR="2C88DA1C" w:rsidRDefault="2C88DA1C" w:rsidP="2C88D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F514" w14:textId="77777777" w:rsidR="00FF53D6" w:rsidRDefault="00FF53D6">
      <w:pPr>
        <w:spacing w:after="0" w:line="240" w:lineRule="auto"/>
      </w:pPr>
      <w:r>
        <w:separator/>
      </w:r>
    </w:p>
  </w:footnote>
  <w:footnote w:type="continuationSeparator" w:id="0">
    <w:p w14:paraId="20068440" w14:textId="77777777" w:rsidR="00FF53D6" w:rsidRDefault="00F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88DA1C" w14:paraId="75342E90" w14:textId="77777777" w:rsidTr="2C88DA1C">
      <w:trPr>
        <w:trHeight w:val="300"/>
      </w:trPr>
      <w:tc>
        <w:tcPr>
          <w:tcW w:w="3005" w:type="dxa"/>
        </w:tcPr>
        <w:p w14:paraId="01622378" w14:textId="2361ECAF" w:rsidR="2C88DA1C" w:rsidRDefault="2C88DA1C" w:rsidP="2C88DA1C">
          <w:pPr>
            <w:pStyle w:val="Header"/>
            <w:ind w:left="-115"/>
          </w:pPr>
        </w:p>
      </w:tc>
      <w:tc>
        <w:tcPr>
          <w:tcW w:w="3005" w:type="dxa"/>
        </w:tcPr>
        <w:p w14:paraId="5D1A89BE" w14:textId="0CCC3AE3" w:rsidR="2C88DA1C" w:rsidRDefault="2C88DA1C" w:rsidP="2C88DA1C">
          <w:pPr>
            <w:pStyle w:val="Header"/>
            <w:jc w:val="center"/>
          </w:pPr>
        </w:p>
      </w:tc>
      <w:tc>
        <w:tcPr>
          <w:tcW w:w="3005" w:type="dxa"/>
        </w:tcPr>
        <w:p w14:paraId="47E6607A" w14:textId="39924873" w:rsidR="2C88DA1C" w:rsidRDefault="2C88DA1C" w:rsidP="2C88DA1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1015D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1015D">
            <w:rPr>
              <w:noProof/>
            </w:rPr>
            <w:t>2</w:t>
          </w:r>
          <w:r>
            <w:fldChar w:fldCharType="end"/>
          </w:r>
        </w:p>
      </w:tc>
    </w:tr>
  </w:tbl>
  <w:p w14:paraId="493B4402" w14:textId="33F7C126" w:rsidR="2C88DA1C" w:rsidRDefault="2C88DA1C" w:rsidP="2C88D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59902B"/>
    <w:multiLevelType w:val="hybridMultilevel"/>
    <w:tmpl w:val="B6465258"/>
    <w:lvl w:ilvl="0" w:tplc="627C96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587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65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45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CE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E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3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0B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D85"/>
    <w:multiLevelType w:val="multilevel"/>
    <w:tmpl w:val="087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627A2"/>
    <w:multiLevelType w:val="hybridMultilevel"/>
    <w:tmpl w:val="56AEAEEA"/>
    <w:lvl w:ilvl="0" w:tplc="E76CB23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A9720E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18E7AD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E1EC3C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50043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4647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5EB7E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F9078A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88051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5A354C"/>
    <w:multiLevelType w:val="hybridMultilevel"/>
    <w:tmpl w:val="D23CE70E"/>
    <w:lvl w:ilvl="0" w:tplc="C1205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587B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25A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180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CE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883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BA2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AC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A4B5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A516E9"/>
    <w:multiLevelType w:val="multilevel"/>
    <w:tmpl w:val="2AA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B64E1"/>
    <w:multiLevelType w:val="multilevel"/>
    <w:tmpl w:val="FE7E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4F386"/>
    <w:multiLevelType w:val="hybridMultilevel"/>
    <w:tmpl w:val="24646E90"/>
    <w:lvl w:ilvl="0" w:tplc="F01E4CB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DCF2CE3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B429E1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268752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A4537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55A095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B6249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3A58A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36E1AB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AD72F6"/>
    <w:multiLevelType w:val="multilevel"/>
    <w:tmpl w:val="4C1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160FC"/>
    <w:multiLevelType w:val="hybridMultilevel"/>
    <w:tmpl w:val="BB820C5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7B7A87"/>
    <w:multiLevelType w:val="multilevel"/>
    <w:tmpl w:val="D22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833D1"/>
    <w:multiLevelType w:val="multilevel"/>
    <w:tmpl w:val="09B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4114D"/>
    <w:multiLevelType w:val="hybridMultilevel"/>
    <w:tmpl w:val="677C8A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62872"/>
    <w:multiLevelType w:val="multilevel"/>
    <w:tmpl w:val="AD3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64BD3"/>
    <w:multiLevelType w:val="multilevel"/>
    <w:tmpl w:val="3C2C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8C8F4"/>
    <w:multiLevelType w:val="hybridMultilevel"/>
    <w:tmpl w:val="851E66C6"/>
    <w:lvl w:ilvl="0" w:tplc="5150DB4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77A791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FD6F2C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23418D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5D6D65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B6A67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3ACC26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B3AA1D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B841DE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3FB8C1"/>
    <w:multiLevelType w:val="hybridMultilevel"/>
    <w:tmpl w:val="B8DE8D6C"/>
    <w:lvl w:ilvl="0" w:tplc="E53A5E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744B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A1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E0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C7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2A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8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AF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95017"/>
    <w:multiLevelType w:val="hybridMultilevel"/>
    <w:tmpl w:val="ACA0F2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EB527F"/>
    <w:multiLevelType w:val="multilevel"/>
    <w:tmpl w:val="34E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F15A5"/>
    <w:multiLevelType w:val="multilevel"/>
    <w:tmpl w:val="3D64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AFEC70"/>
    <w:multiLevelType w:val="hybridMultilevel"/>
    <w:tmpl w:val="707CE616"/>
    <w:lvl w:ilvl="0" w:tplc="75C6B1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9CD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83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7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63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EA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4A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86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23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465E8"/>
    <w:multiLevelType w:val="hybridMultilevel"/>
    <w:tmpl w:val="7FEA9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D5CC76"/>
    <w:multiLevelType w:val="hybridMultilevel"/>
    <w:tmpl w:val="112C0FB6"/>
    <w:lvl w:ilvl="0" w:tplc="0D5280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7C5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25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E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2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2C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C0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C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34279"/>
    <w:multiLevelType w:val="hybridMultilevel"/>
    <w:tmpl w:val="B888D62C"/>
    <w:lvl w:ilvl="0" w:tplc="E3CEE8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DD009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B2E3D9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8ACA3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EAE4D7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D840A6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BAC2A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5B05C7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444FB7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D0768CC"/>
    <w:multiLevelType w:val="multilevel"/>
    <w:tmpl w:val="59B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463B6"/>
    <w:multiLevelType w:val="multilevel"/>
    <w:tmpl w:val="1FDE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0518D"/>
    <w:multiLevelType w:val="hybridMultilevel"/>
    <w:tmpl w:val="B966E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19A95"/>
    <w:multiLevelType w:val="hybridMultilevel"/>
    <w:tmpl w:val="DA64A976"/>
    <w:lvl w:ilvl="0" w:tplc="9392F6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16F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B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08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2E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CE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2F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6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28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76139"/>
    <w:multiLevelType w:val="multilevel"/>
    <w:tmpl w:val="3FA0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816719">
    <w:abstractNumId w:val="19"/>
  </w:num>
  <w:num w:numId="2" w16cid:durableId="700281322">
    <w:abstractNumId w:val="2"/>
  </w:num>
  <w:num w:numId="3" w16cid:durableId="1504542451">
    <w:abstractNumId w:val="0"/>
  </w:num>
  <w:num w:numId="4" w16cid:durableId="1115052691">
    <w:abstractNumId w:val="14"/>
  </w:num>
  <w:num w:numId="5" w16cid:durableId="1859663506">
    <w:abstractNumId w:val="22"/>
  </w:num>
  <w:num w:numId="6" w16cid:durableId="1817604935">
    <w:abstractNumId w:val="6"/>
  </w:num>
  <w:num w:numId="7" w16cid:durableId="1318263231">
    <w:abstractNumId w:val="21"/>
  </w:num>
  <w:num w:numId="8" w16cid:durableId="153962289">
    <w:abstractNumId w:val="15"/>
  </w:num>
  <w:num w:numId="9" w16cid:durableId="1851479851">
    <w:abstractNumId w:val="26"/>
  </w:num>
  <w:num w:numId="10" w16cid:durableId="842429342">
    <w:abstractNumId w:val="4"/>
  </w:num>
  <w:num w:numId="11" w16cid:durableId="2034573685">
    <w:abstractNumId w:val="10"/>
  </w:num>
  <w:num w:numId="12" w16cid:durableId="650867252">
    <w:abstractNumId w:val="12"/>
  </w:num>
  <w:num w:numId="13" w16cid:durableId="1230766962">
    <w:abstractNumId w:val="27"/>
  </w:num>
  <w:num w:numId="14" w16cid:durableId="1328559289">
    <w:abstractNumId w:val="18"/>
  </w:num>
  <w:num w:numId="15" w16cid:durableId="555818900">
    <w:abstractNumId w:val="17"/>
  </w:num>
  <w:num w:numId="16" w16cid:durableId="1556578042">
    <w:abstractNumId w:val="9"/>
  </w:num>
  <w:num w:numId="17" w16cid:durableId="1383794887">
    <w:abstractNumId w:val="1"/>
  </w:num>
  <w:num w:numId="18" w16cid:durableId="838159749">
    <w:abstractNumId w:val="24"/>
  </w:num>
  <w:num w:numId="19" w16cid:durableId="926766094">
    <w:abstractNumId w:val="7"/>
  </w:num>
  <w:num w:numId="20" w16cid:durableId="281421594">
    <w:abstractNumId w:val="23"/>
  </w:num>
  <w:num w:numId="21" w16cid:durableId="1654405588">
    <w:abstractNumId w:val="13"/>
  </w:num>
  <w:num w:numId="22" w16cid:durableId="1645697191">
    <w:abstractNumId w:val="16"/>
  </w:num>
  <w:num w:numId="23" w16cid:durableId="724715359">
    <w:abstractNumId w:val="11"/>
  </w:num>
  <w:num w:numId="24" w16cid:durableId="3754439">
    <w:abstractNumId w:val="8"/>
  </w:num>
  <w:num w:numId="25" w16cid:durableId="2022660798">
    <w:abstractNumId w:val="3"/>
  </w:num>
  <w:num w:numId="26" w16cid:durableId="306937593">
    <w:abstractNumId w:val="20"/>
  </w:num>
  <w:num w:numId="27" w16cid:durableId="1179199640">
    <w:abstractNumId w:val="5"/>
  </w:num>
  <w:num w:numId="28" w16cid:durableId="2820015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0"/>
    <w:rsid w:val="00014398"/>
    <w:rsid w:val="00235EED"/>
    <w:rsid w:val="002958C6"/>
    <w:rsid w:val="003B4AE0"/>
    <w:rsid w:val="00463426"/>
    <w:rsid w:val="00465B09"/>
    <w:rsid w:val="004D2423"/>
    <w:rsid w:val="00532CA1"/>
    <w:rsid w:val="00665837"/>
    <w:rsid w:val="007676EA"/>
    <w:rsid w:val="00903FC7"/>
    <w:rsid w:val="00906F73"/>
    <w:rsid w:val="00A03B18"/>
    <w:rsid w:val="00A1015D"/>
    <w:rsid w:val="00A71868"/>
    <w:rsid w:val="00AA7B63"/>
    <w:rsid w:val="00C0479B"/>
    <w:rsid w:val="00CB22FD"/>
    <w:rsid w:val="00D16852"/>
    <w:rsid w:val="00D5101B"/>
    <w:rsid w:val="00D97260"/>
    <w:rsid w:val="00E66968"/>
    <w:rsid w:val="00F36012"/>
    <w:rsid w:val="00F77F23"/>
    <w:rsid w:val="00FF53D6"/>
    <w:rsid w:val="03217245"/>
    <w:rsid w:val="044C93B9"/>
    <w:rsid w:val="09374404"/>
    <w:rsid w:val="0969D053"/>
    <w:rsid w:val="0D0C6BFF"/>
    <w:rsid w:val="0E1F5A1D"/>
    <w:rsid w:val="1145755F"/>
    <w:rsid w:val="154C9D93"/>
    <w:rsid w:val="191AE397"/>
    <w:rsid w:val="1953BA7B"/>
    <w:rsid w:val="1BA91962"/>
    <w:rsid w:val="21122E11"/>
    <w:rsid w:val="223DD5C1"/>
    <w:rsid w:val="2C88DA1C"/>
    <w:rsid w:val="47143A60"/>
    <w:rsid w:val="47C41A82"/>
    <w:rsid w:val="49BA1653"/>
    <w:rsid w:val="4C848DDB"/>
    <w:rsid w:val="4F626B6C"/>
    <w:rsid w:val="589F17E9"/>
    <w:rsid w:val="620DFD87"/>
    <w:rsid w:val="62AE6160"/>
    <w:rsid w:val="6A678F4A"/>
    <w:rsid w:val="6CB529C6"/>
    <w:rsid w:val="78CE6170"/>
    <w:rsid w:val="797CE722"/>
    <w:rsid w:val="7BEB8CE4"/>
    <w:rsid w:val="7C15A5D5"/>
    <w:rsid w:val="7D65C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87985F8"/>
  <w15:chartTrackingRefBased/>
  <w15:docId w15:val="{5C6A1672-D794-4401-B156-80C4B09A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26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3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426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2C88DA1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88DA1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730</Words>
  <Characters>4258</Characters>
  <Application>Microsoft Office Word</Application>
  <DocSecurity>0</DocSecurity>
  <Lines>157</Lines>
  <Paragraphs>81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Ruqiyah Kulsoom</dc:creator>
  <cp:keywords/>
  <dc:description/>
  <cp:lastModifiedBy>Ruqiyah Kulsoom</cp:lastModifiedBy>
  <cp:revision>3</cp:revision>
  <dcterms:created xsi:type="dcterms:W3CDTF">2026-01-08T15:58:00Z</dcterms:created>
  <dcterms:modified xsi:type="dcterms:W3CDTF">2026-01-08T16:04:00Z</dcterms:modified>
</cp:coreProperties>
</file>